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175"/>
      </w:tblGrid>
      <w:tr>
        <w:tc>
          <w:tcPr>
            <w:tcW w:type="dxa" w:w="6236"/>
          </w:tcPr>
          <w:p>
            <w:r>
              <w:rPr>
                <w:b/>
                <w:color w:val="1A2A4A"/>
                <w:sz w:val="26"/>
              </w:rPr>
              <w:t>KADIOĞLU HUKUK VE ARABULUCULUK BÜROSU</w:t>
            </w:r>
          </w:p>
          <w:p>
            <w:r>
              <w:rPr>
                <w:i/>
                <w:color w:val="333333"/>
                <w:sz w:val="20"/>
              </w:rPr>
              <w:t>Av. Mehmet Emin Kadıoğlu</w:t>
            </w:r>
          </w:p>
        </w:tc>
        <w:tc>
          <w:tcPr>
            <w:tcW w:type="dxa" w:w="3175"/>
          </w:tcPr>
          <w:p>
            <w:pPr>
              <w:jc w:val="right"/>
            </w:pPr>
            <w:r>
              <w:rPr>
                <w:sz w:val="18"/>
              </w:rPr>
              <w:t>Kartaltepe Mah., Malazgirt Cd., Keleş Center No:1 B Blok Kat:71</w:t>
              <w:br/>
              <w:t>34295 Küçükçekmece / İstanbul</w:t>
            </w:r>
          </w:p>
          <w:p>
            <w:pPr>
              <w:jc w:val="right"/>
            </w:pPr>
            <w:r>
              <w:rPr>
                <w:sz w:val="18"/>
              </w:rPr>
              <w:t>T: +90 506 163 90 57   •   destek@kadiogluhukukburosu.av.tr</w:t>
              <w:br/>
              <w:t>kadiogluhukukburosu.av.tr</w:t>
            </w:r>
          </w:p>
        </w:tc>
      </w:tr>
    </w:tbl>
    <w:p>
      <w:pPr>
        <w:spacing w:before="40" w:after="120"/>
        <w:pBdr>
          <w:bottom w:val="single" w:sz="6" w:space="1" w:color="c9a45c"/>
        </w:pBdr>
      </w:pPr>
    </w:p>
    <w:p>
      <w:pPr>
        <w:spacing w:before="120" w:after="240"/>
        <w:jc w:val="center"/>
      </w:pPr>
      <w:r>
        <w:rPr>
          <w:b/>
          <w:sz w:val="32"/>
        </w:rPr>
        <w:t>ANLAŞMALI BOŞANMA PROTOKOLÜ</w:t>
      </w:r>
    </w:p>
    <w:p>
      <w:pPr>
        <w:jc w:val="center"/>
      </w:pPr>
      <w:r>
        <w:rPr>
          <w:i/>
          <w:color w:val="555555"/>
          <w:sz w:val="20"/>
        </w:rPr>
        <w:t>TMK m.166/3 kapsamında düzenlenmiştir. Aşağıdaki boşluklar (_____) taraflarca doldurulur; kesin miktar ve tarihler somut olaya göre belirlenir.</w:t>
      </w:r>
    </w:p>
    <w:p/>
    <w:p>
      <w:pPr>
        <w:spacing w:before="200" w:after="80"/>
      </w:pPr>
      <w:r>
        <w:rPr>
          <w:b/>
          <w:color w:val="1A2A4A"/>
          <w:sz w:val="22"/>
        </w:rPr>
        <w:t>Taraflar</w:t>
      </w:r>
    </w:p>
    <w:p>
      <w:pPr>
        <w:spacing w:after="80" w:line="300" w:lineRule="auto"/>
      </w:pPr>
      <w:r>
        <w:rPr>
          <w:i w:val="0"/>
          <w:sz w:val="22"/>
        </w:rPr>
        <w:t>Davacı / Eş 1: [Ad Soyad], T.C. Kimlik No: _____, Adres: _____</w:t>
      </w:r>
    </w:p>
    <w:p>
      <w:pPr>
        <w:spacing w:after="80" w:line="300" w:lineRule="auto"/>
      </w:pPr>
      <w:r>
        <w:rPr>
          <w:i w:val="0"/>
          <w:sz w:val="22"/>
        </w:rPr>
        <w:t>Davalı / Eş 2: [Ad Soyad], T.C. Kimlik No: _____, Adres: _____</w:t>
      </w:r>
    </w:p>
    <w:p>
      <w:pPr>
        <w:spacing w:before="200" w:after="80"/>
      </w:pPr>
      <w:r>
        <w:rPr>
          <w:b/>
          <w:color w:val="1A2A4A"/>
          <w:sz w:val="22"/>
        </w:rPr>
        <w:t>Evlilik bilgisi</w:t>
      </w:r>
    </w:p>
    <w:p>
      <w:pPr>
        <w:spacing w:after="80" w:line="300" w:lineRule="auto"/>
      </w:pPr>
      <w:r>
        <w:rPr>
          <w:i w:val="0"/>
          <w:sz w:val="22"/>
        </w:rPr>
        <w:t>Taraflar, _____ İl _____ İlçesi Evlendirme Memurluğu’nda _____ tarihinde evlenmiştir. Evlilikten _____ ortak çocuk bulunmaktadır: [Ad Soyad], doğum tarihi _____ .</w:t>
      </w:r>
    </w:p>
    <w:p>
      <w:pPr>
        <w:spacing w:after="80" w:line="300" w:lineRule="auto"/>
      </w:pPr>
      <w:r>
        <w:rPr>
          <w:i w:val="0"/>
          <w:sz w:val="22"/>
        </w:rPr>
        <w:t>Taraflar, aralarındaki evlilik birliğini karşılıklı iradeleriyle sona erdirmek ve TMK m.166/3 kapsamında anlaşmalı olarak boşanmak amacıyla aşağıdaki hususlarda anlaşmışlardır.</w:t>
      </w:r>
    </w:p>
    <w:p/>
    <w:p>
      <w:r>
        <w:rPr>
          <w:b/>
          <w:color w:val="1A2A4A"/>
          <w:sz w:val="24"/>
        </w:rPr>
        <w:t>HÜKÜMLER</w:t>
      </w:r>
    </w:p>
    <w:p>
      <w:pPr>
        <w:spacing w:after="80" w:line="300" w:lineRule="auto"/>
      </w:pPr>
      <w:r>
        <w:rPr>
          <w:b/>
          <w:sz w:val="22"/>
        </w:rPr>
        <w:t xml:space="preserve">1) Boşanmanın kabulü. </w:t>
      </w:r>
      <w:r>
        <w:rPr>
          <w:i w:val="0"/>
          <w:sz w:val="22"/>
        </w:rPr>
        <w:t>Taraflar evlilik birliğinin temelinden sarsıldığını, birlikte yaşama ihtimallerinin kalmadığını kabul ederek karşılıklı olarak boşanmayı istemektedir. Kusur iddiasında bulunulmamıştır.</w:t>
      </w:r>
    </w:p>
    <w:p>
      <w:pPr>
        <w:spacing w:after="80" w:line="300" w:lineRule="auto"/>
      </w:pPr>
      <w:r>
        <w:rPr>
          <w:i/>
          <w:sz w:val="18"/>
        </w:rPr>
        <w:t>Ortak çocuk yoksa 2, 3 ve 4 üncü maddeler atlanır.</w:t>
      </w:r>
    </w:p>
    <w:p>
      <w:pPr>
        <w:spacing w:after="80" w:line="300" w:lineRule="auto"/>
      </w:pPr>
      <w:r>
        <w:rPr>
          <w:b/>
          <w:sz w:val="22"/>
        </w:rPr>
        <w:t xml:space="preserve">2) Velayet. </w:t>
      </w:r>
      <w:r>
        <w:rPr>
          <w:i w:val="0"/>
          <w:sz w:val="22"/>
        </w:rPr>
        <w:t>Ortak çocuk [Ad Soyad]’ın velayeti, boşanma kararının kesinleşmesinden itibaren [anne / baba]’ya bırakılacaktır. Diğer eş bu düzenlemeyi kabul eder.</w:t>
      </w:r>
    </w:p>
    <w:p>
      <w:pPr>
        <w:spacing w:after="80" w:line="300" w:lineRule="auto"/>
      </w:pPr>
      <w:r>
        <w:rPr>
          <w:b/>
          <w:sz w:val="22"/>
        </w:rPr>
        <w:t xml:space="preserve">3) Kişisel ilişki. </w:t>
      </w:r>
      <w:r>
        <w:rPr>
          <w:i w:val="0"/>
          <w:sz w:val="22"/>
        </w:rPr>
        <w:t>Velayeti almayan eş ile çocuk arasında aşağıdaki takvim uyarınca kişisel ilişki kurulur:</w:t>
      </w:r>
    </w:p>
    <w:p>
      <w:pPr>
        <w:pStyle w:val="ListBullet"/>
        <w:spacing w:after="40"/>
      </w:pPr>
      <w:r>
        <w:rPr>
          <w:sz w:val="22"/>
        </w:rPr>
        <w:t>Her ayın _____ ve _____ hafta sonu, Cuma günü okul çıkışından Pazar günü saat _____ ’a kadar.</w:t>
      </w:r>
    </w:p>
    <w:p>
      <w:pPr>
        <w:pStyle w:val="ListBullet"/>
        <w:spacing w:after="40"/>
      </w:pPr>
      <w:r>
        <w:rPr>
          <w:sz w:val="22"/>
        </w:rPr>
        <w:t>Dinî bayramların _____ günü sabahından ertesi gün akşamına kadar.</w:t>
      </w:r>
    </w:p>
    <w:p>
      <w:pPr>
        <w:pStyle w:val="ListBullet"/>
        <w:spacing w:after="40"/>
      </w:pPr>
      <w:r>
        <w:rPr>
          <w:sz w:val="22"/>
        </w:rPr>
        <w:t>Yılbaşı tatilinin _____ günü, 23 Nisan _____ günü, 19 Mayıs _____ günü.</w:t>
      </w:r>
    </w:p>
    <w:p>
      <w:pPr>
        <w:pStyle w:val="ListBullet"/>
        <w:spacing w:after="40"/>
      </w:pPr>
      <w:r>
        <w:rPr>
          <w:sz w:val="22"/>
        </w:rPr>
        <w:t>Yaz tatilinin _____ – _____ tarihleri arasında (kesintisiz _____ hafta).</w:t>
      </w:r>
    </w:p>
    <w:p>
      <w:pPr>
        <w:pStyle w:val="ListBullet"/>
        <w:spacing w:after="40"/>
      </w:pPr>
      <w:r>
        <w:rPr>
          <w:sz w:val="22"/>
        </w:rPr>
        <w:t>Ara tatilin tamamı [ya da _____ günü sabahından _____ akşamına kadar].</w:t>
      </w:r>
    </w:p>
    <w:p>
      <w:pPr>
        <w:spacing w:after="80" w:line="300" w:lineRule="auto"/>
      </w:pPr>
      <w:r>
        <w:rPr>
          <w:i w:val="0"/>
          <w:sz w:val="22"/>
        </w:rPr>
        <w:t>Ana ile baba çocuğun bu takvime uygun teslim ve iadesinde iş birliği içinde davranır. Takvimin gereklerinin yerine getirilmemesi hâlinde velayetin değiştirilebileceği ihtarı, hâkim tarafından karar altında verilir (TMK m.182/2).</w:t>
      </w:r>
    </w:p>
    <w:p>
      <w:pPr>
        <w:spacing w:after="80" w:line="300" w:lineRule="auto"/>
      </w:pPr>
      <w:r>
        <w:rPr>
          <w:b/>
          <w:sz w:val="22"/>
        </w:rPr>
        <w:t xml:space="preserve">4) İştirak nafakası. </w:t>
      </w:r>
      <w:r>
        <w:rPr>
          <w:i w:val="0"/>
          <w:sz w:val="22"/>
        </w:rPr>
        <w:t>Velayeti almayan eş, ortak çocuk [Ad Soyad] için aylık _____ TL iştirak nafakası ödeyecektir. Nafaka her ayın _____ günü, velayet sahibi eşin bildireceği banka hesabına ödenir. Bu nafaka, yasal ödeme gücüne göre _____ tarihinden başlar ve çocuk kendi geçimini sağlayabilir hâle gelene kadar devam eder. Koşulların değişmesi hâlinde iştirak nafakası TMK m.331 uyarınca artırılıp azaltılabilir.</w:t>
      </w:r>
    </w:p>
    <w:p>
      <w:pPr>
        <w:spacing w:after="80" w:line="300" w:lineRule="auto"/>
      </w:pPr>
      <w:r>
        <w:rPr>
          <w:b/>
          <w:sz w:val="22"/>
        </w:rPr>
        <w:t xml:space="preserve">5) Yoksulluk nafakası. </w:t>
      </w:r>
      <w:r>
        <w:rPr>
          <w:i w:val="0"/>
          <w:sz w:val="22"/>
        </w:rPr>
        <w:t>Aşağıdaki seçeneklerden biri işaretlenir/tamamlanır:</w:t>
      </w:r>
    </w:p>
    <w:p>
      <w:pPr>
        <w:pStyle w:val="ListBullet"/>
        <w:spacing w:after="40"/>
      </w:pPr>
      <w:r>
        <w:rPr>
          <w:sz w:val="22"/>
        </w:rPr>
        <w:t>Seçenek A – Talep yoktur: Taraflar birbirinden yoksulluk nafakası talep etmediklerini karşılıklı olarak beyan eder.</w:t>
      </w:r>
    </w:p>
    <w:p>
      <w:pPr>
        <w:pStyle w:val="ListBullet"/>
        <w:spacing w:after="40"/>
      </w:pPr>
      <w:r>
        <w:rPr>
          <w:sz w:val="22"/>
        </w:rPr>
        <w:t>Seçenek B – İrat şeklinde: [Adı Soyadı] lehine aylık _____ TL yoksulluk nafakası, her ayın _____ günü ödenmek üzere kararlaştırılmıştır (TMK m.175). Nafakanın alacaklının yeniden evlenmesi veya taraflardan birinin ölümü hâlinde kendiliğinden sona ereceği (TMK m.176/3) taraflarca bilinmektedir. Malî durumun değişmesi veya hakkaniyet gerektirdiğinde nafakanın artırılıp azaltılması (TMK m.176/4) mümkündür.</w:t>
      </w:r>
    </w:p>
    <w:p>
      <w:pPr>
        <w:spacing w:after="80" w:line="300" w:lineRule="auto"/>
      </w:pPr>
      <w:r>
        <w:rPr>
          <w:b/>
          <w:sz w:val="22"/>
        </w:rPr>
        <w:t xml:space="preserve">6) Maddî ve manevî tazminat. </w:t>
      </w:r>
      <w:r>
        <w:rPr>
          <w:i w:val="0"/>
          <w:sz w:val="22"/>
        </w:rPr>
        <w:t>Aşağıdaki seçeneklerden biri işaretlenir/tamamlanır:</w:t>
      </w:r>
    </w:p>
    <w:p>
      <w:pPr>
        <w:pStyle w:val="ListBullet"/>
        <w:spacing w:after="40"/>
      </w:pPr>
      <w:r>
        <w:rPr>
          <w:sz w:val="22"/>
        </w:rPr>
        <w:t>Seçenek A – Talep yoktur: Taraflar birbirinden maddî ve manevî tazminat talep etmediklerini karşılıklı olarak beyan eder.</w:t>
      </w:r>
    </w:p>
    <w:p>
      <w:pPr>
        <w:pStyle w:val="ListBullet"/>
        <w:spacing w:after="40"/>
      </w:pPr>
      <w:r>
        <w:rPr>
          <w:sz w:val="22"/>
        </w:rPr>
        <w:t>Seçenek B – Toptan ödeme: [Adı Soyadı] lehine TMK m.174/1 uyarınca _____ TL maddî tazminat ve TMK m.174/2 uyarınca _____ TL manevî tazminat, kararın kesinleşmesinden itibaren _____ gün içinde tek seferde ödenir. Manevî tazminatın irat biçiminde ödenmesi kararlaştırılamaz (TMK m.176/2).</w:t>
      </w:r>
    </w:p>
    <w:p>
      <w:pPr>
        <w:spacing w:after="80" w:line="300" w:lineRule="auto"/>
      </w:pPr>
      <w:r>
        <w:rPr>
          <w:b/>
          <w:sz w:val="22"/>
        </w:rPr>
        <w:t xml:space="preserve">7) Mal paylaşımı. </w:t>
      </w:r>
      <w:r>
        <w:rPr>
          <w:i w:val="0"/>
          <w:sz w:val="22"/>
        </w:rPr>
        <w:t>Evlilik birliği içinde edinilen mallar TMK m.202 vd. hükümleri uyarınca aşağıdaki gibi paylaşılmıştır: [_____ adresinde bulunan taşınmaz / _____ plakalı taşıt / _____ tarihli banka hesabındaki bakiye vb.] hakkında taraflar birbirinden başkaca bir hak ve alacak talep etmediklerini beyan eder. Tapu ve trafik tescil işlemleri için taraflar karşılıklı olarak gerekli beyan ve devirleri yapmayı kabul eder.</w:t>
      </w:r>
    </w:p>
    <w:p>
      <w:pPr>
        <w:spacing w:after="80" w:line="300" w:lineRule="auto"/>
      </w:pPr>
      <w:r>
        <w:rPr>
          <w:b/>
          <w:sz w:val="22"/>
        </w:rPr>
        <w:t xml:space="preserve">8) Ortak konut ve ev eşyası. </w:t>
      </w:r>
      <w:r>
        <w:rPr>
          <w:i w:val="0"/>
          <w:sz w:val="22"/>
        </w:rPr>
        <w:t>_____ adresindeki ortak konut, [Adı Soyadı]’nın kullanımına bırakılmıştır. Ev eşyası taraflar arasında paylaşılmış olup, tarafların bu konuda birbirinden başkaca hak ve alacak talebi bulunmamaktadır.</w:t>
      </w:r>
    </w:p>
    <w:p>
      <w:pPr>
        <w:spacing w:after="80" w:line="300" w:lineRule="auto"/>
      </w:pPr>
      <w:r>
        <w:rPr>
          <w:b/>
          <w:sz w:val="22"/>
        </w:rPr>
        <w:t xml:space="preserve">9) Kadının soyadı. </w:t>
      </w:r>
      <w:r>
        <w:rPr>
          <w:i w:val="0"/>
          <w:sz w:val="22"/>
        </w:rPr>
        <w:t>Eş [Adı Soyadı], boşanmanın kesinleşmesinden sonra [kızlık soyadını taşımak / kocasının soyadını taşımaya devam etmek] ister. Kadının soyadına ilişkin talep, dilekçede ve duruşmada ayrıca ifade edilir.</w:t>
      </w:r>
    </w:p>
    <w:p>
      <w:pPr>
        <w:spacing w:after="80" w:line="300" w:lineRule="auto"/>
      </w:pPr>
      <w:r>
        <w:rPr>
          <w:b/>
          <w:sz w:val="22"/>
        </w:rPr>
        <w:t xml:space="preserve">10) Yargılama giderleri. </w:t>
      </w:r>
      <w:r>
        <w:rPr>
          <w:i w:val="0"/>
          <w:sz w:val="22"/>
        </w:rPr>
        <w:t>Yargılama giderleri ve karşılıklı vekâlet ücreti taraflar üzerinde bırakılmıştır. Taraflar karşılıklı olarak birbirinden yargılama gideri ve vekâlet ücreti talep etmediklerini beyan eder.</w:t>
      </w:r>
    </w:p>
    <w:p>
      <w:pPr>
        <w:spacing w:after="80" w:line="300" w:lineRule="auto"/>
      </w:pPr>
      <w:r>
        <w:rPr>
          <w:b/>
          <w:sz w:val="22"/>
        </w:rPr>
        <w:t xml:space="preserve">11) Karşılıklı feragat. </w:t>
      </w:r>
      <w:r>
        <w:rPr>
          <w:i w:val="0"/>
          <w:sz w:val="22"/>
        </w:rPr>
        <w:t>Taraflar, bu protokolde düzenlenen konular dışında evlilik birliğinden kaynaklanan başkaca bir hak ve alacak talebinde bulunmayacaklarını karşılıklı olarak kabul ve beyan eder. Bu feragat; iştirak nafakasının değiştirilmesi (TMK m.331), koşulların değişmesi hâlinde yoksulluk nafakası ve iradın artırılıp azaltılması (TMK m.176/4) ile irade sakatlığına dayalı iptal hâllerini kapsamaz.</w:t>
      </w:r>
    </w:p>
    <w:p>
      <w:pPr>
        <w:spacing w:after="80" w:line="300" w:lineRule="auto"/>
      </w:pPr>
      <w:r>
        <w:rPr>
          <w:b/>
          <w:sz w:val="22"/>
        </w:rPr>
        <w:t xml:space="preserve">12) Geçerlilik. </w:t>
      </w:r>
      <w:r>
        <w:rPr>
          <w:i w:val="0"/>
          <w:sz w:val="22"/>
        </w:rPr>
        <w:t>Bu protokol, TMK m.166/3’e göre hâkimin uygun bulması ile hüküm doğurur. Hâkim, tarafların ve çocukların menfaatlerini göz önünde tutarak protokolde gerekli gördüğü değişiklikleri yapabilir; bu değişikliklerin tarafların da kabulü hâlinde boşanmaya hükmolunur.</w:t>
      </w:r>
    </w:p>
    <w:p/>
    <w:p>
      <w:pPr>
        <w:jc w:val="right"/>
      </w:pPr>
      <w:r>
        <w:rPr>
          <w:b/>
          <w:sz w:val="22"/>
        </w:rPr>
        <w:t>Tarih: ___/___/______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873"/>
          </w:tcPr>
          <w:p>
            <w:pPr>
              <w:jc w:val="center"/>
            </w:pPr>
            <w:r>
              <w:rPr>
                <w:b/>
                <w:sz w:val="22"/>
              </w:rPr>
              <w:t>Davacı / Eş 1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rPr>
                <w:b/>
                <w:sz w:val="22"/>
              </w:rPr>
              <w:t>Davalı / Eş 2</w:t>
            </w:r>
          </w:p>
        </w:tc>
      </w:tr>
      <w:tr>
        <w:tc>
          <w:tcPr>
            <w:tcW w:type="dxa" w:w="4873"/>
          </w:tcPr>
          <w:p>
            <w:pPr>
              <w:spacing w:before="600"/>
              <w:jc w:val="center"/>
            </w:pPr>
            <w:r>
              <w:rPr>
                <w:sz w:val="22"/>
              </w:rPr>
              <w:t>___________________</w:t>
            </w:r>
          </w:p>
          <w:p>
            <w:pPr>
              <w:jc w:val="center"/>
            </w:pPr>
            <w:r>
              <w:rPr>
                <w:i/>
                <w:sz w:val="18"/>
              </w:rPr>
              <w:t>Ad Soyad – İmza</w:t>
            </w:r>
          </w:p>
        </w:tc>
        <w:tc>
          <w:tcPr>
            <w:tcW w:type="dxa" w:w="4873"/>
          </w:tcPr>
          <w:p>
            <w:pPr>
              <w:spacing w:before="600"/>
              <w:jc w:val="center"/>
            </w:pPr>
            <w:r>
              <w:rPr>
                <w:sz w:val="22"/>
              </w:rPr>
              <w:t>___________________</w:t>
            </w:r>
          </w:p>
          <w:p>
            <w:pPr>
              <w:jc w:val="center"/>
            </w:pPr>
            <w:r>
              <w:rPr>
                <w:i/>
                <w:sz w:val="18"/>
              </w:rPr>
              <w:t>Ad Soyad – İmza</w:t>
            </w:r>
          </w:p>
        </w:tc>
      </w:tr>
    </w:tbl>
    <w:p/>
    <w:p/>
    <w:p>
      <w:pPr>
        <w:pBdr>
          <w:top w:val="single" w:sz="6" w:space="1" w:color="c9a45c"/>
        </w:pBdr>
      </w:pPr>
    </w:p>
    <w:p>
      <w:r>
        <w:rPr>
          <w:i/>
          <w:color w:val="555555"/>
          <w:sz w:val="18"/>
        </w:rPr>
        <w:t>Bu belge, Kadioğlu Hukuk Ve Arabuluculuk Bürosu tarafından bilgilendirme amacıyla hazırlanmış bir şablondur. Somut olaya ilişkin hukuki görüş veya tavsiye niteliği taşımaz. Boşluklar taraflarca doldurulmalı; miktar, süre ve tarafların somut durumuna göre değişebilecek maddeler bir hukukçu ile birlikte değerlendirilmelidir. Kanun metinlerine mevzuat.gov.tr adresinden ulaşılabilir. Kaynak sayfa: kadiogluhukukburosu.av.tr/anlasmali-bosanma-protokolu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