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DELIL TESPITI DILEKÇESI (HMK M.400)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(Ya da esas davaya bakacak olan mahkeme)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EDEN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ALEYHİNE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TESPİT İSTENEN : [AD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[BİLİNMİYORSA: "Aleyhine tespit yapılacak kişi,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durum ve koşulların imkân vermemesi nedeniyle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gösterilememektedir; HMK m.402/1 uyarınca 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geçerli sayılmalıdır."]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: Hukuk Muhakemeleri Kanunu m.400 ve devamı uyarınca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[KEŞİF / BİLİRKİŞİ İNCELEMESİ / TANIK DİNLENMESİ]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yoluyla delil tespiti talebimizdir.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Talep edenin [TAŞINMAZIN ADRESİ]'nde bulunan [TAŞINMAZIN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NİTELİĞİ]'nde [TARİH] tarihinde [OLUŞAN VAKIA - KISA ANLATIM]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nedeniyle zarar meydana gelmiş / gelmek üzeredir.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[DELİLİN KAYBOLACAĞINA VE İSPATIN ZORLAŞACAĞINA İLİŞKİN SOMUT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GEREKÇE - örneğin: "Karşı taraf, hasarlı bölümü kısa süre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onarma kararı almıştır; onarım gerçekleştiğinde hasarın niteliği,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yeri ve boyutu ölçülemez duruma gelecektir."]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Bu nedenle hâlihazırdaki durumun keşif ve bilirkişi incelemesi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yoluyla tespit edilmesi gerekmektedir. Bilirkişiye şu sorular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yöneltilmelidir: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Taşınmazın mevcut durumu nedir ve hangi bölümlerinde hasar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bulunmaktadır?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Hasarın oluş sebebi nedir; hangi işlem ya da davranıştan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kaynaklanmış olabilir?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Hasarın giderilmesi için gereken işlemler nelerdir ve bu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işlemlerin bugünkü değerle bedeli ne kadardır?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[Konu ne ise soruların o konuya göre somutlaştırılması gerekir.]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[KARŞI TARAFA TEBLİGAT YAPILMAKSIZIN İSTENİYORSA:]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edenin haklarının korunması, karşı tarafa haber verilmeden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tespit yapılmasını zorunlu kılmaktadır; zira karşı taraf haberdar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olması hâlinde delili değiştirecek ya da ortadan kaldıracaktır.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HMK m.403/1 uyarınca tespitin karşı tarafa tebligat yapılmaksızın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yapılmasını talep ederiz.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Mahkemece belirlenecek tespit gider avansını yatırmaya hazırız.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SEBEPLER: HMK m.400-406; 1512 s. Noterlik Kanunu;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: Tapu kaydı, fotoğraflar, mevcut yazışmalar, keşif,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bilirkişi incelemesi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[TAŞINMAZ / MAL / OLAY] üzerinde keşif ve bilirkişi incelemesi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yapılmak suretiyle mevcut durumun tespitine,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Bilirkişi raporunun hazırlanmasına ve dosyaya sunulmasına,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Yargılama giderlerinin talebimize göre karşı tarafa yüklenmesine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EDEN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: Vekâletname, tapu kaydı, fotoğraflar, yazışma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örnekleri.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