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TAHLIYE TAAHHÜTNAMESINE DAYALI TAHLIYE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[YER] NÖBETÇİ SULH HUKUK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AVUKATIN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          : [KİRACININ AD SOYADI]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[KİRALANANIN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Tahliye taahhütnamesine dayalı tahliye davasıdır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(TBK m.352/1).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 DEĞERİ     : Yıllık kira bedeli [_____ TL] üzerinden.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Davalı, [KİRA SÖZLEŞMESİ TARİHİ] tarihli kira sözleşmesi ile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[KİRALANANIN ADRESİ]'nde bulunan taşınmazı aylık _____ TL kira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bedeli ile kullanmaktadır. Kiralanan, davalıya [TESLİM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tarihinde teslim edilmiştir.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Davalı, kiralananın tesliminden sonra ve serbest iradesi ile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[TAAHHÜT TARİHİ] tarihli tahliye taahhütnamesini imzalamış; bu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taahhütle taşınmazı [BOŞALTMA TARİHİ] tarihinde tahliye edeceğini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yazılı olarak üstlenmiştir. Taahhütname örneği ekte sunulmuştur.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Kararlaştırılan boşaltma tarihi gelmiş; davalı taşınmazı bu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tarihte tahliye etmemiştir. TBK m.352/1 uyarınca boşaltma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tarihinden itibaren bir aylık süre içinde işbu davayı açma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zorunluluğu doğmuştur.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4. Kira ilişkisinden kaynaklanan bu uyuşmazlıkta [ARABULUCU 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nezdinde arabuluculuk süreci yürütülmüş; [TUTANAK TARİHİ] tarihli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son tutanak ile anlaşmaya varılamadığı tespit edilmiştir. Son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tutanak dilekçe ekindedir.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TBK m.352/1; HMK m.4, m.6, m.10; 6325 s. Kanun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m.18/A ve m.18/B (7445 s.K. m.37 ile eklendi);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ilgili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Kira sözleşmesi, tahliye taahhütnamesi, tapu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kaydı, arabuluculuk son tutanağı, tanık beyanları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([AD SOYAD, ADRES]), yazışmalar ve her türlü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Açıklanan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Davalı kiracının [KİRALANANIN ADRESİ]'nde bulunan taşınmazdan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TAHLİYESİNE,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Yargılama giderleri ile vekâlet ücretinin davalıya yükletilmesine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/ VEKİLİ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EKİ             : Kira sözleşmesi, tahliye taahhütnamesi (aslı),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tapu kaydı, arabuluculuk son tutanağı,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vekâletname.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